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/>
        <w:ind w:left="2" w:hanging="4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color w:val="000000"/>
          <w:sz w:val="20"/>
          <w:szCs w:val="20"/>
        </w:rPr>
        <w:t>ISTITUTO COMPRENSIVO “</w:t>
      </w:r>
      <w:r>
        <w:rPr>
          <w:rFonts w:eastAsia="Times New Roman" w:cs="Times New Roman" w:ascii="Times New Roman" w:hAnsi="Times New Roman"/>
          <w:b/>
          <w:color w:val="000000"/>
          <w:sz w:val="20"/>
          <w:szCs w:val="20"/>
        </w:rPr>
        <w:t>ANDREA CAMILLERI”</w:t>
      </w:r>
      <w:r>
        <w:rPr>
          <w:rFonts w:eastAsia="Times New Roman" w:cs="Times New Roman" w:ascii="Times New Roman" w:hAnsi="Times New Roman"/>
          <w:b/>
          <w:color w:val="000000"/>
          <w:sz w:val="20"/>
          <w:szCs w:val="20"/>
        </w:rPr>
        <w:t xml:space="preserve"> - FAVARA - AG</w:t>
      </w:r>
    </w:p>
    <w:p>
      <w:pPr>
        <w:pStyle w:val="Normal"/>
        <w:pBdr/>
        <w:ind w:left="2" w:hanging="4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color w:val="000000"/>
          <w:sz w:val="20"/>
          <w:szCs w:val="20"/>
        </w:rPr>
      </w:r>
    </w:p>
    <w:p>
      <w:pPr>
        <w:pStyle w:val="Normal"/>
        <w:widowControl/>
        <w:pBdr/>
        <w:jc w:val="center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u w:val="single"/>
        </w:rPr>
        <w:t>RELAZIONE FINALE COORDINATA DEL CONSIGLIO DI CLASSE</w:t>
      </w:r>
    </w:p>
    <w:p>
      <w:pPr>
        <w:pStyle w:val="Normal"/>
        <w:widowControl/>
        <w:pBdr/>
        <w:spacing w:before="3" w:after="120"/>
        <w:jc w:val="center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widowControl/>
        <w:pBdr/>
        <w:ind w:right="112" w:hanging="0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color w:val="000000"/>
          <w:sz w:val="20"/>
          <w:szCs w:val="20"/>
        </w:rPr>
      </w:r>
    </w:p>
    <w:p>
      <w:pPr>
        <w:pStyle w:val="Normal"/>
        <w:widowControl/>
        <w:pBdr/>
        <w:ind w:right="112" w:hanging="0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color w:val="000000"/>
          <w:sz w:val="20"/>
          <w:szCs w:val="20"/>
        </w:rPr>
      </w:r>
    </w:p>
    <w:p>
      <w:pPr>
        <w:pStyle w:val="Normal"/>
        <w:widowControl/>
        <w:pBdr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</w:t>
      </w:r>
    </w:p>
    <w:p>
      <w:pPr>
        <w:pStyle w:val="Normal"/>
        <w:widowControl/>
        <w:pBdr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Anno Scolastico 202</w:t>
      </w:r>
      <w:r>
        <w:rPr>
          <w:rFonts w:eastAsia="Times New Roman" w:cs="Times New Roman" w:ascii="Times New Roman" w:hAnsi="Times New Roman"/>
          <w:sz w:val="20"/>
          <w:szCs w:val="20"/>
        </w:rPr>
        <w:t>3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/202</w:t>
      </w:r>
      <w:r>
        <w:rPr>
          <w:rFonts w:eastAsia="Times New Roman" w:cs="Times New Roman" w:ascii="Times New Roman" w:hAnsi="Times New Roman"/>
          <w:sz w:val="20"/>
          <w:szCs w:val="20"/>
        </w:rPr>
        <w:t>4</w:t>
      </w:r>
    </w:p>
    <w:p>
      <w:pPr>
        <w:pStyle w:val="Normal"/>
        <w:widowControl/>
        <w:pBdr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CLASSE </w:t>
      </w:r>
    </w:p>
    <w:p>
      <w:pPr>
        <w:pStyle w:val="Normal"/>
        <w:widowControl/>
        <w:pBdr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PLESSO “Mendola-Vaccaro”</w:t>
      </w:r>
    </w:p>
    <w:p>
      <w:pPr>
        <w:pStyle w:val="Normal"/>
        <w:widowControl/>
        <w:pBdr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</w:r>
    </w:p>
    <w:p>
      <w:pPr>
        <w:pStyle w:val="Normal"/>
        <w:widowControl/>
        <w:pBdr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  <w:t>Composizione del Consiglio di Classe</w:t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tbl>
      <w:tblPr>
        <w:tblStyle w:val="a"/>
        <w:tblW w:w="9948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noVBand="1" w:noHBand="1" w:lastColumn="0" w:firstColumn="0" w:lastRow="0" w:firstRow="0"/>
      </w:tblPr>
      <w:tblGrid>
        <w:gridCol w:w="4964"/>
        <w:gridCol w:w="4983"/>
      </w:tblGrid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DISCIPLINA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DOCENTE</w:t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ITALIANO E STORIA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GEOGRAFIA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INGLESE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FRANCESE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MATEMATICA E SCIENZE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TECNOLOGIA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ARTE E IMMAGINE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MUSICA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RELIGIONE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SCIENZE MOTORIE E SPORTIVE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SOSTEGNO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CHITARRA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FLAUTO TRAVERSO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SASSOFONO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PIANOFORTE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EDUCAZIONE CIVICA</w:t>
            </w:r>
          </w:p>
        </w:tc>
        <w:tc>
          <w:tcPr>
            <w:tcW w:w="4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pBdr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 xml:space="preserve">DOCENTE COORDINATORE: </w:t>
      </w:r>
    </w:p>
    <w:p>
      <w:pPr>
        <w:pStyle w:val="Normal"/>
        <w:pBdr/>
        <w:ind w:left="2160" w:hanging="0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ind w:left="2160" w:hanging="0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ind w:left="2160" w:hanging="0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ind w:left="2160" w:hanging="0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spacing w:lineRule="auto" w:line="276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tbl>
      <w:tblPr>
        <w:tblStyle w:val="a0"/>
        <w:tblW w:w="9788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noVBand="1" w:noHBand="1" w:lastColumn="0" w:firstColumn="0" w:lastRow="0" w:firstRow="0"/>
      </w:tblPr>
      <w:tblGrid>
        <w:gridCol w:w="3259"/>
        <w:gridCol w:w="3258"/>
        <w:gridCol w:w="3271"/>
      </w:tblGrid>
      <w:tr>
        <w:trPr/>
        <w:tc>
          <w:tcPr>
            <w:tcW w:w="9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PRESENTAZIONE  DELLA CLASSE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COMPOSIZIONE</w:t>
            </w:r>
          </w:p>
        </w:tc>
      </w:tr>
      <w:tr>
        <w:trPr/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Alunni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Maschi</w:t>
            </w:r>
          </w:p>
        </w:tc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Femmine</w:t>
            </w:r>
          </w:p>
        </w:tc>
      </w:tr>
      <w:tr>
        <w:trPr/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Ripetenti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Diversamente abili</w:t>
            </w:r>
          </w:p>
        </w:tc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Alunni stranieri</w:t>
            </w:r>
          </w:p>
        </w:tc>
      </w:tr>
      <w:tr>
        <w:trPr/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DSA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BES</w:t>
            </w:r>
          </w:p>
        </w:tc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Alunni che non si avvalgono dell’IRC 1</w:t>
            </w:r>
          </w:p>
        </w:tc>
      </w:tr>
    </w:tbl>
    <w:p>
      <w:pPr>
        <w:pStyle w:val="Titolo4"/>
        <w:spacing w:before="10" w:after="0"/>
        <w:ind w:left="112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Titolo2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1"/>
        <w:tblW w:w="9788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noVBand="1" w:noHBand="1" w:lastColumn="0" w:firstColumn="0" w:lastRow="0" w:firstRow="0"/>
      </w:tblPr>
      <w:tblGrid>
        <w:gridCol w:w="9788"/>
      </w:tblGrid>
      <w:tr>
        <w:trPr/>
        <w:tc>
          <w:tcPr>
            <w:tcW w:w="9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olor w:val="000000"/>
              </w:rPr>
              <w:t>SITUAZIONE GENERALE DELLA CLASSE RISPETTO AL CONTESTO DI PARTENZA</w:t>
            </w:r>
          </w:p>
        </w:tc>
      </w:tr>
    </w:tbl>
    <w:p>
      <w:pPr>
        <w:pStyle w:val="Normal"/>
        <w:pBdr/>
        <w:jc w:val="center"/>
        <w:rPr>
          <w:rFonts w:ascii="Times New Roman" w:hAnsi="Times New Roman" w:eastAsia="Times New Roman" w:cs="Times New Roman"/>
          <w:b/>
          <w:color w:val="FF0000"/>
        </w:rPr>
      </w:pPr>
      <w:r>
        <w:rPr>
          <w:rFonts w:eastAsia="Times New Roman" w:cs="Times New Roman" w:ascii="Times New Roman" w:hAnsi="Times New Roman"/>
          <w:i/>
          <w:color w:val="FF0000"/>
        </w:rPr>
        <w:t xml:space="preserve">      </w:t>
      </w:r>
    </w:p>
    <w:p>
      <w:pPr>
        <w:pStyle w:val="ListParagraph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</w:rPr>
        <w:t>Fisionomia della classe e situazione didattico-disciplinare durante il triennio</w:t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eastAsia="Times New Roman" w:cs="Times New Roman" w:ascii="Times New Roman" w:hAnsi="Times New Roman"/>
          <w:color w:val="000000" w:themeColor="text1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</w:rPr>
        <w:t>FASCE DI LIVELLO IN USCITA</w:t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Al termine dell’anno scolastico, sulla base degli esiti scolastici raggiunti dagli alunni, si possono individuare le seguenti fasce di livello:</w:t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tbl>
      <w:tblPr>
        <w:tblStyle w:val="a2"/>
        <w:tblW w:w="9788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noVBand="1" w:noHBand="1" w:lastColumn="0" w:firstColumn="0" w:lastRow="0" w:firstRow="0"/>
      </w:tblPr>
      <w:tblGrid>
        <w:gridCol w:w="1525"/>
        <w:gridCol w:w="3545"/>
        <w:gridCol w:w="4718"/>
      </w:tblGrid>
      <w:tr>
        <w:trPr/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</w:tcPr>
          <w:p>
            <w:pPr>
              <w:pStyle w:val="Normal"/>
              <w:widowControl w:val="false"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INDICATORI  ESPLICATIVI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Fascia A- Avanzato</w:t>
            </w:r>
          </w:p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b/>
                <w:vertAlign w:val="superscript"/>
              </w:rPr>
            </w:r>
          </w:p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Voto 9/10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l’alunno/a svolge compiti e risolve problemi complessi in situazioni anche non note, mostrando padronanza nell’uso delle conoscenze e delle abilità; propone e sostiene le proprie opinioni e assume autonomamente decisioni consapevoli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Alunni che evidenziano un livello avanzato di conoscenze ed abilità:</w:t>
            </w:r>
            <w:r>
              <w:rPr>
                <w:rFonts w:eastAsia="Times New Roman" w:cs="Times New Roman" w:ascii="Times New Roman" w:hAnsi="Times New Roman"/>
                <w:b/>
              </w:rPr>
              <w:t xml:space="preserve"> n.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pBdr/>
              <w:spacing w:before="12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Fascia B- Intermedio</w:t>
            </w:r>
          </w:p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Voto 7/8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l’alunno/a svolge compiti e risolve problemi in situazioni nuove, compie scelte consapevoli, mostrando di sapere utilizzare le conoscenze e le abilità acquisite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 xml:space="preserve">Alunni che evidenziano un livello intermedio di conoscenze ed abilità: </w:t>
            </w:r>
            <w:r>
              <w:rPr>
                <w:rFonts w:eastAsia="Times New Roman" w:cs="Times New Roman" w:ascii="Times New Roman" w:hAnsi="Times New Roman"/>
                <w:b/>
              </w:rPr>
              <w:t>n.</w:t>
            </w:r>
          </w:p>
        </w:tc>
      </w:tr>
      <w:tr>
        <w:trPr/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Fascia C-Base</w:t>
            </w:r>
          </w:p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Voto 6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l’alunno/a svolge compiti semplici anche in situazioni note, mostrando di possedere conoscenze e abilità fondamentali e di saper applicare basilari regole e procedure apprese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Alunni che evidenziano un livello base di conoscenze ed abilità:</w:t>
            </w:r>
            <w:r>
              <w:rPr>
                <w:rFonts w:eastAsia="Times New Roman" w:cs="Times New Roman" w:ascii="Times New Roman" w:hAnsi="Times New Roman"/>
                <w:b/>
              </w:rPr>
              <w:t xml:space="preserve"> n.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pBdr/>
              <w:spacing w:before="12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Fascia D- Iniziale</w:t>
            </w:r>
          </w:p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Voto 5 e meno di 5</w:t>
            </w:r>
          </w:p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before="12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l’alunno/a, se opportunamente guidato/a, svolge compiti semplici in situazioni note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Alunni che evidenziano un livello iniziale di conoscenze ed abilità:</w:t>
            </w:r>
            <w:r>
              <w:rPr>
                <w:rFonts w:eastAsia="Times New Roman" w:cs="Times New Roman" w:ascii="Times New Roman" w:hAnsi="Times New Roman"/>
                <w:b/>
              </w:rPr>
              <w:t xml:space="preserve"> n.</w:t>
            </w:r>
          </w:p>
          <w:p>
            <w:pPr>
              <w:pStyle w:val="Normal"/>
              <w:widowControl w:val="false"/>
              <w:pBdr/>
              <w:spacing w:before="12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</w:tbl>
    <w:p>
      <w:pPr>
        <w:pStyle w:val="Normal"/>
        <w:pBdr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tbl>
      <w:tblPr>
        <w:tblStyle w:val="a3"/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VBand="1" w:noHBand="0" w:lastColumn="0" w:firstColumn="0" w:lastRow="0" w:firstRow="0"/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9646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OBIETTIVI GENERALI DEL PROCESSO FORMATIVO E OBIETTIVI COGNITIVI</w:t>
            </w:r>
          </w:p>
        </w:tc>
      </w:tr>
    </w:tbl>
    <w:p>
      <w:pPr>
        <w:pStyle w:val="Normal"/>
        <w:spacing w:before="28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0" w:after="2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Sulla base delle Nuove Indicazioni per il Curricolo per il primo ciclo di istruzione, in coerenza con il P.T.O.F, con il curricolo verticale elaborato dalla scuola e con le problematiche specifiche della classe, il Consiglio di classe ha concordato inizialmente e perseguito durante l’anno scolastico gli obiettivi generali del processo formativo e gli obiettivi cognitivi</w:t>
      </w:r>
      <w:r>
        <w:rPr>
          <w:rFonts w:eastAsia="Times New Roman" w:cs="Times New Roman" w:ascii="Times New Roman" w:hAnsi="Times New Roman"/>
          <w:i/>
        </w:rPr>
        <w:t xml:space="preserve"> </w:t>
      </w:r>
      <w:r>
        <w:rPr>
          <w:rFonts w:eastAsia="Times New Roman" w:cs="Times New Roman" w:ascii="Times New Roman" w:hAnsi="Times New Roman"/>
        </w:rPr>
        <w:t>tenendo conto delle:</w:t>
      </w:r>
    </w:p>
    <w:p>
      <w:pPr>
        <w:pStyle w:val="Titolo4"/>
        <w:spacing w:before="10" w:after="0"/>
        <w:ind w:left="112" w:hanging="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-competenze chiave</w:t>
      </w:r>
    </w:p>
    <w:p>
      <w:pPr>
        <w:pStyle w:val="Normal"/>
        <w:widowControl/>
        <w:ind w:left="112" w:hanging="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-competenze di cittadinanza</w:t>
      </w:r>
    </w:p>
    <w:p>
      <w:pPr>
        <w:pStyle w:val="Normal"/>
        <w:widowControl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 xml:space="preserve"> </w:t>
      </w:r>
      <w:r>
        <w:rPr>
          <w:rFonts w:eastAsia="Times New Roman" w:cs="Times New Roman" w:ascii="Times New Roman" w:hAnsi="Times New Roman"/>
          <w:b/>
        </w:rPr>
        <w:t>-competenze disciplinari</w:t>
      </w:r>
    </w:p>
    <w:p>
      <w:pPr>
        <w:pStyle w:val="Normal"/>
        <w:widowControl/>
        <w:spacing w:lineRule="auto" w:line="276" w:before="0" w:after="120"/>
        <w:ind w:right="88" w:hanging="0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p>
      <w:pPr>
        <w:pStyle w:val="Normal"/>
        <w:widowControl/>
        <w:spacing w:lineRule="auto" w:line="276" w:before="0" w:after="120"/>
        <w:ind w:right="88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Le </w:t>
      </w:r>
      <w:r>
        <w:rPr>
          <w:rFonts w:eastAsia="Times New Roman" w:cs="Times New Roman" w:ascii="Times New Roman" w:hAnsi="Times New Roman"/>
          <w:b/>
        </w:rPr>
        <w:t>competenze chiave per l’apprendimento permanente</w:t>
      </w:r>
      <w:r>
        <w:rPr>
          <w:rFonts w:eastAsia="Times New Roman" w:cs="Times New Roman" w:ascii="Times New Roman" w:hAnsi="Times New Roman"/>
        </w:rPr>
        <w:t xml:space="preserve"> sono quelle di cui tutti hanno bisogno per lo sviluppo personale e la realizzazione di sé, per conquistare la cittadinanza attiva, l’inclusione sociale e l’occupazione. Il concetto di competenza, quindi, si coniuga con un modello di insegnamento/apprendimento che mette in gioco il ruolo dei processi di elaborazione personale delle conoscenze. Attraverso i contenuti disciplinari e i nuovi ambienti di apprendimento, ciascun alunno, in base alle proprie capacità, ai propri stili di apprendimento, all’impegno dimostrato, ha acquisito le seguenti competenze, a cui si fa riferimento nelle Indicazioni Nazionali, definite nella Raccomandazione del Parlamento europeo e del Consiglio del 18 Dicembre 2006 e successivamente modificate nella raccomandazione del 22 Maggio 2018 :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-comunicazione alfabetica funzionale;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-competenza multilinguistica;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-competenza matematica e competenza in scienze, tecnologie e ingegneria;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-competenza digitale;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-competenza personale, sociale e capacità di imparare ad imparare;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-competenze in materia di cittadinanza;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-competenza imprenditoriale;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-competenza in materia di consapevolezza ed espressione culturale</w:t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widowControl/>
        <w:spacing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>Competenze di cittadinanza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Stima e fiducia di sé: nelle proprie capacità e attitudini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Consapevolezza del proprio percorso di crescita fisica, psicologica e mentale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Assunzione di responsabilità per la risoluzione di progetti o compiti assunti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Utilizzo delle proprie strutture e modalità di apprendimento, integrando saperi, attitudini, autonomia di pensiero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Consapevolezza del progresso personale e scolastico per proiettarsi nel futuro, immaginando un progetto di vita.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Intuizione delle ragioni sottese a punti di vista diversi dal proprio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 xml:space="preserve">Attivazione di modalità partecipative, che indichino consapevolezza della propria identità all’interno del gruppo, della famiglia, della società 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</w:rPr>
        <w:t xml:space="preserve">Assunzione di atteggiamenti di libertà responsabile  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Assunzione autonoma di atteggiamenti cooperativi per realizzare uno scopo comune</w:t>
      </w:r>
    </w:p>
    <w:p>
      <w:pPr>
        <w:pStyle w:val="Normal"/>
        <w:widowControl/>
        <w:numPr>
          <w:ilvl w:val="0"/>
          <w:numId w:val="2"/>
        </w:numPr>
        <w:ind w:left="720" w:hanging="360"/>
        <w:jc w:val="both"/>
        <w:rPr/>
      </w:pPr>
      <w:r>
        <w:rPr>
          <w:rFonts w:eastAsia="Times New Roman" w:cs="Times New Roman" w:ascii="Times New Roman" w:hAnsi="Times New Roman"/>
        </w:rPr>
        <w:t>Messa in relazione della società di appartenenza con l’aspetto globale della condizione umana, legata ad un destino comune</w:t>
      </w:r>
    </w:p>
    <w:p>
      <w:pPr>
        <w:pStyle w:val="Normal"/>
        <w:widowControl/>
        <w:ind w:left="360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ind w:left="360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 xml:space="preserve">Competenze disciplinari </w:t>
      </w:r>
    </w:p>
    <w:p>
      <w:pPr>
        <w:pStyle w:val="Normal"/>
        <w:widowControl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 riferimento alle Indicazioni Ministeriali, i contenuti disciplinari sono stati adeguati alle esperienze, agli interessi e alle reali possibilità degli alunni.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Si precisa, inoltre, che, in considerazione della finalità formativa e orientativa della Scuola Secondaria di I grado, l'obiettivo primario di tutti i docenti è stato principalmente quello di fornire agli alunni gli strumenti necessari per l'acquisizione di un metodo di lavoro adeguato, finalizzato ad avviare un processo di trasformazione di conoscenze e di abilità in competenze.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Per quanto riguarda il raggiungimento degli obiettivi disciplinari programmati e delle relative competenze, si rimanda alle Relazioni finali disciplinari di ciascun docente, allegate alla presente.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*Per i percorsi di apprendimento e di inclusione per alunni diversamente abili e alunni BES, si vedano i PEI e i PEP.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 contenuti di Educazione Civica svolti durante l’anno scolastico nell’ambito delle singole discipline - nell’osservanza della Legge n. 92 del 20 agosto 2019, concernente “Introduzione dell’insegnamento scolastico dell’Educazione civica”- sono specificati nelle Relazioni finali disciplinari di ciascun docente. Il C.d.C a tal riguardo ha svolto n.33 ore annue.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</w:rPr>
        <w:t xml:space="preserve">Sono riportati qui di seguito le tematiche interdisciplinari, gli obiettivi formativi trasversali, le attività didattiche aggiuntive del curricolo, le </w:t>
      </w:r>
      <w:r>
        <w:rPr>
          <w:rFonts w:eastAsia="Times New Roman" w:cs="Times New Roman" w:ascii="Times New Roman" w:hAnsi="Times New Roman"/>
          <w:color w:val="000000"/>
        </w:rPr>
        <w:t>strategie didattico-organizzative</w:t>
      </w:r>
      <w:r>
        <w:rPr>
          <w:rFonts w:eastAsia="Times New Roman" w:cs="Times New Roman" w:ascii="Times New Roman" w:hAnsi="Times New Roman"/>
        </w:rPr>
        <w:t xml:space="preserve"> per il raggiungimento degli obiettivi, i tempi e le modalità della verifica e della valutazione, che sono stati sviluppati dai docenti della classe nel corso dell’anno scolastico.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4"/>
        <w:tblW w:w="97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788"/>
      </w:tblGrid>
      <w:tr>
        <w:trPr>
          <w:trHeight w:val="701" w:hRule="atLeast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>
                <w:rFonts w:eastAsia="Times New Roman" w:cs="Times New Roman" w:ascii="Times New Roman" w:hAnsi="Times New Roman"/>
                <w:b/>
                <w:smallCaps/>
              </w:rPr>
              <w:t>OBIETTIVI INTERDISCIPLINARI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</w:tbl>
    <w:p>
      <w:pPr>
        <w:pStyle w:val="Normal"/>
        <w:widowControl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tbl>
      <w:tblPr>
        <w:tblStyle w:val="a5"/>
        <w:tblW w:w="9854" w:type="dxa"/>
        <w:jc w:val="left"/>
        <w:tblInd w:w="-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65"/>
        <w:gridCol w:w="2151"/>
        <w:gridCol w:w="6638"/>
      </w:tblGrid>
      <w:tr>
        <w:trPr/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PERIODO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TEMATICA INTERDISCIPLINARE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OBIETTIVI FORMATIVI TRASVERSALI</w:t>
            </w:r>
          </w:p>
        </w:tc>
      </w:tr>
      <w:tr>
        <w:trPr/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Ott.-Nov.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L’Adolescenza: caratteristiche e problematiche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Stimolare, attraverso la lettura e la discussione, la riflessione ed il pensiero critico su determinati valori dell’adolescenza e della vita.</w:t>
            </w:r>
          </w:p>
        </w:tc>
      </w:tr>
      <w:tr>
        <w:trPr/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Dic-Gen.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Io chi sono: ipotizzo il mio futuro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Avviare ad operare con consapevolezza scelte che riguardano il proprio inserimento nel contesto socio-culturale.</w:t>
            </w:r>
          </w:p>
        </w:tc>
      </w:tr>
      <w:tr>
        <w:trPr/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Feb.-Mar.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Intercultura e convivenza civile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Stimolare la comprensione e l’accettazione delle diversità culturali.</w:t>
            </w:r>
          </w:p>
        </w:tc>
      </w:tr>
      <w:tr>
        <w:trPr/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Apr.-Mag.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Caratteristiche e problemi del mondo attuale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Favorire la comprensione della complessità del mondo circostante per individuarne problematicità ed ipotesi di soluzione.</w:t>
            </w:r>
          </w:p>
        </w:tc>
      </w:tr>
    </w:tbl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tbl>
      <w:tblPr>
        <w:tblStyle w:val="a6"/>
        <w:tblW w:w="10388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noVBand="1" w:noHBand="1" w:lastColumn="0" w:firstColumn="0" w:lastRow="0" w:firstRow="0"/>
      </w:tblPr>
      <w:tblGrid>
        <w:gridCol w:w="806"/>
        <w:gridCol w:w="2006"/>
        <w:gridCol w:w="1421"/>
        <w:gridCol w:w="1849"/>
        <w:gridCol w:w="4263"/>
        <w:gridCol w:w="42"/>
      </w:tblGrid>
      <w:tr>
        <w:trPr>
          <w:trHeight w:val="320" w:hRule="atLeast"/>
        </w:trPr>
        <w:tc>
          <w:tcPr>
            <w:tcW w:w="1038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79646" w:val="clear"/>
          </w:tcPr>
          <w:p>
            <w:pPr>
              <w:pStyle w:val="Normal"/>
              <w:widowControl w:val="false"/>
              <w:pBdr/>
              <w:spacing w:lineRule="auto" w:line="276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AMPLIAMENTO DELL’OFFERTA FORMATIVA</w:t>
            </w:r>
          </w:p>
        </w:tc>
      </w:tr>
      <w:tr>
        <w:trPr>
          <w:trHeight w:val="282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</w:t>
            </w:r>
          </w:p>
        </w:tc>
        <w:tc>
          <w:tcPr>
            <w:tcW w:w="95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ATTIVITA’ FACOLTATIVE /OPZIONALI</w:t>
            </w:r>
          </w:p>
        </w:tc>
      </w:tr>
      <w:tr>
        <w:trPr>
          <w:trHeight w:val="282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PC</w:t>
            </w:r>
          </w:p>
        </w:tc>
        <w:tc>
          <w:tcPr>
            <w:tcW w:w="95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PROGETTI CURRICOLARI</w:t>
            </w:r>
          </w:p>
        </w:tc>
      </w:tr>
      <w:tr>
        <w:trPr>
          <w:trHeight w:val="282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PE</w:t>
            </w:r>
          </w:p>
        </w:tc>
        <w:tc>
          <w:tcPr>
            <w:tcW w:w="95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PROGETTI EXTRACURRICOLARI</w:t>
            </w:r>
          </w:p>
        </w:tc>
      </w:tr>
      <w:tr>
        <w:trPr>
          <w:trHeight w:val="439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O</w:t>
            </w:r>
          </w:p>
        </w:tc>
        <w:tc>
          <w:tcPr>
            <w:tcW w:w="95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ind w:right="-284" w:hanging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ATTIVITA’ DI ORIENTAMENTO (solo per le classi terze)</w:t>
            </w:r>
          </w:p>
        </w:tc>
      </w:tr>
      <w:tr>
        <w:trPr>
          <w:trHeight w:val="439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95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ind w:right="-284" w:hanging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ATTIVITA’ DI AMPLIAMENTO ALL’OFFERTA FORMATIVA</w:t>
            </w:r>
          </w:p>
        </w:tc>
      </w:tr>
      <w:tr>
        <w:trPr>
          <w:trHeight w:val="564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Titolo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Tipologia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Docente referente</w:t>
            </w:r>
          </w:p>
        </w:tc>
        <w:tc>
          <w:tcPr>
            <w:tcW w:w="4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Insegnanti coinvolti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84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4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90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4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84" w:hRule="atLeast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4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40" w:after="60"/>
              <w:ind w:right="-284" w:hanging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pBdr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tbl>
      <w:tblPr>
        <w:tblStyle w:val="a4"/>
        <w:tblW w:w="97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788"/>
      </w:tblGrid>
      <w:tr>
        <w:trPr>
          <w:trHeight w:val="701" w:hRule="atLeast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/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RISULTATI DEGLI INTERVENTI DI RECUPERO DELLE DIFFICOLTÀ E SOSTEGNO DELLE ECCELLENZE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</w:tbl>
    <w:p>
      <w:pPr>
        <w:pStyle w:val="Normal"/>
        <w:pBdr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mallCaps/>
        </w:rPr>
      </w:pPr>
      <w:r>
        <w:rPr>
          <w:rFonts w:eastAsia="Times New Roman" w:cs="Times New Roman" w:ascii="Times New Roman" w:hAnsi="Times New Roman"/>
          <w:b/>
          <w:smallCaps/>
        </w:rPr>
        <w:t xml:space="preserve">    </w:t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Il Consiglio di classe, in relazione ai bisogni formativi degli alunni, ha attuato le seguenti strategie didattico-organizzative al fine di individualizzare/personalizzare l’insegnamento-apprendimento e di trasformare in competenze personali dell’allievo gli obiettivi generali del processo formativo e gli obiettivi specifici di apprendimento delle singole discipline</w:t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tbl>
      <w:tblPr>
        <w:tblStyle w:val="a7"/>
        <w:tblW w:w="101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VBand="1" w:noHBand="0" w:lastColumn="0" w:firstColumn="0" w:lastRow="0" w:firstRow="0"/>
      </w:tblPr>
      <w:tblGrid>
        <w:gridCol w:w="2813"/>
        <w:gridCol w:w="4893"/>
        <w:gridCol w:w="2482"/>
      </w:tblGrid>
      <w:tr>
        <w:trPr/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POTENZIAMENTO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97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□ </w:t>
            </w:r>
            <w:r>
              <w:rPr>
                <w:rFonts w:eastAsia="Times New Roman" w:cs="Times New Roman" w:ascii="Times New Roman" w:hAnsi="Times New Roman"/>
              </w:rPr>
              <w:t>Approfondimento degli argomenti di studio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97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MS Gothic" w:cs="MS Gothic" w:ascii="MS Gothic" w:hAnsi="MS Gothic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attività mirate al perfezionamento del metodo di studio e di lavoro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□ </w:t>
            </w:r>
            <w:r>
              <w:rPr>
                <w:rFonts w:eastAsia="Times New Roman" w:cs="Times New Roman" w:ascii="Times New Roman" w:hAnsi="Times New Roman"/>
              </w:rPr>
              <w:t>ricerca individuale e/o di gruppo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Gli interventi di potenziamento delle conoscenze e delle abilità sono risultati, nel complesso: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molto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abbastanza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parzialmente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scarsamente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CONSOLIDAMENTO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□ </w:t>
            </w:r>
            <w:r>
              <w:rPr>
                <w:rFonts w:eastAsia="Times New Roman" w:cs="Times New Roman" w:ascii="Times New Roman" w:hAnsi="Times New Roman"/>
              </w:rPr>
              <w:t>Attività mirate a migliorare il metodo di studio</w:t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mirate a consolidare le capacità di comprensione, di comunicazione e le abilità logiche.</w:t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di gruppo per migliorare lo spirito di cooperazione</w:t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per gruppi di livello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Gli interventi di consolidamento delle conoscenze e delle abilità sono risultati, nel complesso: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molto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abbastanza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parzialmente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scarsamente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RECUPERO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ind w:left="75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mirate al miglioramento della partecipazione alla vita di classe.</w:t>
            </w:r>
          </w:p>
          <w:p>
            <w:pPr>
              <w:pStyle w:val="Normal"/>
              <w:widowControl w:val="false"/>
              <w:pBdr/>
              <w:ind w:left="75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Controlli sistematici del lavoro svolto in autonomia.</w:t>
            </w:r>
          </w:p>
          <w:p>
            <w:pPr>
              <w:pStyle w:val="Normal"/>
              <w:widowControl w:val="false"/>
              <w:pBdr/>
              <w:ind w:left="75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mirate all’acquisizione di un metodo di lavoro più ordinato ed organizzato.</w:t>
            </w:r>
          </w:p>
          <w:p>
            <w:pPr>
              <w:pStyle w:val="Normal"/>
              <w:widowControl w:val="false"/>
              <w:pBdr/>
              <w:ind w:left="75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personalizzate.</w:t>
            </w:r>
          </w:p>
          <w:p>
            <w:pPr>
              <w:pStyle w:val="Normal"/>
              <w:widowControl w:val="false"/>
              <w:pBdr/>
              <w:ind w:left="75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Esercitazioni guidate.</w:t>
            </w:r>
          </w:p>
          <w:p>
            <w:pPr>
              <w:pStyle w:val="Normal"/>
              <w:widowControl w:val="false"/>
              <w:pBdr/>
              <w:ind w:left="75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Stimoli all’autocorrezione.</w:t>
            </w:r>
          </w:p>
          <w:p>
            <w:pPr>
              <w:pStyle w:val="Normal"/>
              <w:widowControl w:val="false"/>
              <w:pBdr/>
              <w:ind w:left="102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per gruppi di livello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Recupero motivazionale (conversazioni e gratificazioni);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□ </w:t>
            </w:r>
            <w:r>
              <w:rPr>
                <w:rFonts w:eastAsia="Times New Roman" w:cs="Times New Roman" w:ascii="Times New Roman" w:hAnsi="Times New Roman"/>
              </w:rPr>
              <w:t>Inserimento in gruppi di lavoro motivati;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attività guidate a crescente livello di difficoltà; □allungamento dei tempi di lavoro e di assimilazione dei contenuti;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iniziative di recupero delle conoscenze ed abilità mediante riduzione e semplificazione di esercizi;  □stimoli alla partecipazione e valorizzazione degli interventi di ciascuno;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--------------------------------------------------------------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Gli interventi di recupero delle conoscenze e delle abilità sono risultati, nel complesso: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molto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abbastanza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parzialmente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□</w:t>
            </w:r>
            <w:r>
              <w:rPr>
                <w:rFonts w:eastAsia="Times New Roman" w:cs="Times New Roman" w:ascii="Times New Roman" w:hAnsi="Times New Roman"/>
              </w:rPr>
              <w:t>scarsamente efficaci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</w:tbl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eastAsia="Times New Roman" w:cs="Times New Roman" w:ascii="Times New Roman" w:hAnsi="Times New Roman"/>
          <w:b/>
          <w:sz w:val="22"/>
          <w:szCs w:val="22"/>
        </w:rPr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2"/>
          <w:szCs w:val="22"/>
        </w:rPr>
        <w:t xml:space="preserve"> </w:t>
      </w:r>
    </w:p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mallCaps/>
        </w:rPr>
      </w:pPr>
      <w:r>
        <w:rPr>
          <w:rFonts w:eastAsia="Times New Roman" w:cs="Times New Roman" w:ascii="Times New Roman" w:hAnsi="Times New Roman"/>
          <w:b/>
          <w:smallCaps/>
        </w:rPr>
        <w:t xml:space="preserve">  </w:t>
      </w:r>
    </w:p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tbl>
      <w:tblPr>
        <w:tblStyle w:val="a4"/>
        <w:tblW w:w="97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788"/>
      </w:tblGrid>
      <w:tr>
        <w:trPr>
          <w:trHeight w:val="701" w:hRule="atLeast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/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METODI E STRATEGIE- MEZZI E STRUMENTI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CRITERI E STRUMENTI DI VALUTAZIONE UTILIZZATI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</w:tbl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pBdr/>
        <w:tabs>
          <w:tab w:val="clear" w:pos="720"/>
          <w:tab w:val="left" w:pos="7491" w:leader="none"/>
        </w:tabs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mallCaps/>
        </w:rPr>
      </w:pPr>
      <w:r>
        <w:rPr>
          <w:rFonts w:eastAsia="Times New Roman" w:cs="Times New Roman" w:ascii="Times New Roman" w:hAnsi="Times New Roman"/>
          <w:b/>
          <w:smallCaps/>
        </w:rPr>
        <w:t xml:space="preserve">   </w:t>
      </w: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mallCaps/>
        </w:rPr>
      </w:pPr>
      <w:r>
        <w:rPr>
          <w:rFonts w:eastAsia="Times New Roman" w:cs="Times New Roman" w:ascii="Times New Roman" w:hAnsi="Times New Roman"/>
          <w:b/>
          <w:smallCaps/>
        </w:rPr>
        <w:t xml:space="preserve">   </w:t>
      </w:r>
      <w:r>
        <w:rPr>
          <w:rFonts w:eastAsia="Times New Roman" w:cs="Times New Roman" w:ascii="Times New Roman" w:hAnsi="Times New Roman"/>
          <w:b/>
        </w:rPr>
        <w:t xml:space="preserve"> </w:t>
      </w:r>
      <w:r>
        <w:rPr>
          <w:rFonts w:eastAsia="Times New Roman" w:cs="Times New Roman" w:ascii="Times New Roman" w:hAnsi="Times New Roman"/>
          <w:b/>
          <w:smallCaps/>
        </w:rPr>
        <w:t xml:space="preserve"> </w:t>
      </w:r>
    </w:p>
    <w:tbl>
      <w:tblPr>
        <w:tblStyle w:val="a8"/>
        <w:tblW w:w="9640" w:type="dxa"/>
        <w:jc w:val="left"/>
        <w:tblInd w:w="-188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600" w:noVBand="1" w:noHBand="1" w:lastColumn="0" w:firstColumn="0" w:lastRow="0" w:firstRow="0"/>
      </w:tblPr>
      <w:tblGrid>
        <w:gridCol w:w="2680"/>
        <w:gridCol w:w="6959"/>
      </w:tblGrid>
      <w:tr>
        <w:trPr/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SCELTE METODOLOGICHE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</w:tc>
        <w:tc>
          <w:tcPr>
            <w:tcW w:w="6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 programmi relativi a ciascuna disciplina sono stati svolti interamente/parzialmente nei modi e nei tempi previsti e risultano assimilati, sia pure in maniera diversa dagli alunni</w:t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METODI E STRATEGIE</w:t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Lezione frontale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Lavoro in coppie di aiuto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Lavoro di gruppo per compiti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Brainstorming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Problem solving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Discussione guidata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Attività laboratoriali</w:t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MEZZI E STRUMENTI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</w:tc>
        <w:tc>
          <w:tcPr>
            <w:tcW w:w="6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Libri di testo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Testi didattici di supporto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Schede predisposte dall’insegnante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Drammatizzazione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Computer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Uscite sul territorio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Giochi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Sussidi audiovisivi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Esperimenti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ind w:left="720" w:hanging="360"/>
              <w:rPr/>
            </w:pPr>
            <w:r>
              <w:rPr>
                <w:rFonts w:eastAsia="Times New Roman" w:cs="Times New Roman" w:ascii="Times New Roman" w:hAnsi="Times New Roman"/>
              </w:rPr>
              <w:t>--------------------------------------------------------</w:t>
            </w:r>
          </w:p>
          <w:p>
            <w:pPr>
              <w:pStyle w:val="Normal"/>
              <w:widowControl w:val="false"/>
              <w:pBdr/>
              <w:ind w:left="720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CRITERI DI VALUTAZIONE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</w:tc>
        <w:tc>
          <w:tcPr>
            <w:tcW w:w="6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Per la valutazione i docenti hanno fatto riferimento: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-ai criteri di valutazione comuni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-ai criteri di valutazione del comportamento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-ai criteri per ammissione/non ammissione alla classe successiva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 ai criteri per l’ammissione/non ammissione all’esame di Stato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Gli alunni sono stati valutati in diversi momenti dell’anno: ad inizio anno scolastico (valutazione iniziale) per accertare i prerequisiti di apprendimento, le abilità possedute e le conoscenze acquisite negli anni precedenti; in itinere (valutazione formativa) per valutare il percorso educativo/didattico di ciascun allievo al fine di intervenire con strategie mirate al recupero/consolidamento/potenziamento delle abilità secondo le necessità; a conclusione dell’anno scolastico (valutazione sommativa), tenendo presente la situazione di partenza, il ritmo di apprendimento, gli obiettivi, l’interesse, l’impegno, il comportamento, il metodo di studio, la partecipazione degli alunni.</w:t>
            </w:r>
          </w:p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  <w:t>STRUMENTI DI VALUTAZIONE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u w:val="single"/>
              </w:rPr>
            </w:r>
          </w:p>
        </w:tc>
        <w:tc>
          <w:tcPr>
            <w:tcW w:w="6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Sono state effettuate periodiche verifiche scritte ed orali per rilevare la preparazione acquisita dai singoli alunni: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-prove oggettive e non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-questionari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-composizioni/relazioni,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-disegni e prove grafiche,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-prove di tipo psico-motorio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-prove di carattere musicale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127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-prove per classi parallele in entrata/in itinere/ in uscita.</w:t>
            </w:r>
          </w:p>
        </w:tc>
      </w:tr>
    </w:tbl>
    <w:p>
      <w:pPr>
        <w:pStyle w:val="Normal"/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eastAsia="Times New Roman" w:cs="Times New Roman"/>
          <w:b/>
          <w:smallCaps/>
        </w:rPr>
      </w:pPr>
      <w:r>
        <w:rPr>
          <w:rFonts w:eastAsia="Times New Roman" w:cs="Times New Roman" w:ascii="Times New Roman" w:hAnsi="Times New Roman"/>
          <w:b/>
          <w:smallCaps/>
        </w:rPr>
      </w:r>
    </w:p>
    <w:tbl>
      <w:tblPr>
        <w:tblStyle w:val="a4"/>
        <w:tblW w:w="97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788"/>
      </w:tblGrid>
      <w:tr>
        <w:trPr>
          <w:trHeight w:val="701" w:hRule="atLeast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9646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smallCaps/>
              </w:rPr>
            </w:pPr>
            <w:r>
              <w:rPr>
                <w:rFonts w:eastAsia="Times New Roman" w:cs="Times New Roman" w:ascii="Times New Roman" w:hAnsi="Times New Roman"/>
                <w:b/>
                <w:smallCaps/>
              </w:rPr>
            </w:r>
          </w:p>
          <w:p>
            <w:pPr>
              <w:pStyle w:val="Normal"/>
              <w:widowControl w:val="false"/>
              <w:pBdr/>
              <w:spacing w:lineRule="auto" w:line="276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                                      </w:t>
            </w:r>
            <w:r>
              <w:rPr>
                <w:rFonts w:eastAsia="Times New Roman" w:cs="Times New Roman" w:ascii="Times New Roman" w:hAnsi="Times New Roman"/>
                <w:b/>
              </w:rPr>
              <w:t>RAPPORTI CON LE FAMIGLIE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mallCaps/>
        </w:rPr>
      </w:pPr>
      <w:r>
        <w:rPr>
          <w:rFonts w:eastAsia="Times New Roman" w:cs="Times New Roman" w:ascii="Times New Roman" w:hAnsi="Times New Roman"/>
          <w:b/>
          <w:smallCaps/>
        </w:rPr>
      </w:r>
    </w:p>
    <w:p>
      <w:pPr>
        <w:pStyle w:val="Normal"/>
        <w:pBdr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pBdr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>Sono avvenuti tramite</w:t>
      </w:r>
      <w:r>
        <w:rPr>
          <w:rFonts w:eastAsia="Times New Roman" w:cs="Times New Roman" w:ascii="Times New Roman" w:hAnsi="Times New Roman"/>
        </w:rPr>
        <w:t>:</w:t>
      </w:r>
    </w:p>
    <w:tbl>
      <w:tblPr>
        <w:tblStyle w:val="Grigliatabella"/>
        <w:tblW w:w="98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08"/>
      </w:tblGrid>
      <w:tr>
        <w:trPr/>
        <w:tc>
          <w:tcPr>
            <w:tcW w:w="9808" w:type="dxa"/>
            <w:tcBorders/>
          </w:tcPr>
          <w:p>
            <w:pPr>
              <w:pStyle w:val="Normal"/>
              <w:widowControl w:val="false"/>
              <w:pBdr/>
              <w:spacing w:before="0"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 xml:space="preserve">   □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colloqui programmati a distanza, secondo le modalità stabilite dal collegio</w:t>
            </w:r>
          </w:p>
          <w:p>
            <w:pPr>
              <w:pStyle w:val="TxBrp26"/>
              <w:widowControl w:val="false"/>
              <w:spacing w:lineRule="exact" w:line="300" w:before="0" w:after="0"/>
              <w:jc w:val="left"/>
              <w:rPr>
                <w:lang w:val="it-IT"/>
              </w:rPr>
            </w:pPr>
            <w:r>
              <w:rPr>
                <w:kern w:val="0"/>
                <w:szCs w:val="24"/>
                <w:lang w:val="it-IT" w:bidi="ar-SA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TxBrp26"/>
              <w:widowControl w:val="false"/>
              <w:spacing w:lineRule="exact" w:line="300" w:before="0" w:after="0"/>
              <w:jc w:val="left"/>
              <w:rPr>
                <w:color w:val="333333"/>
                <w:sz w:val="24"/>
                <w:lang w:val="it-IT" w:eastAsia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  <w:t></w:t>
            </w:r>
            <w:r>
              <w:rPr>
                <w:color w:val="333333"/>
                <w:kern w:val="0"/>
                <w:sz w:val="24"/>
                <w:szCs w:val="24"/>
                <w:lang w:val="it-IT" w:eastAsia="it-IT" w:bidi="ar-SA"/>
              </w:rPr>
              <w:t>colloqui previo appuntamento da parte delle famiglie con il docente;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15" w:leader="none"/>
              </w:tabs>
              <w:spacing w:lineRule="exact" w:line="30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Verdana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TxBrp26"/>
              <w:widowControl w:val="false"/>
              <w:spacing w:lineRule="exact" w:line="300" w:before="0" w:after="0"/>
              <w:jc w:val="left"/>
              <w:rPr>
                <w:color w:val="333333"/>
                <w:sz w:val="24"/>
                <w:lang w:val="it-IT" w:eastAsia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  <w:t></w:t>
            </w:r>
            <w:r>
              <w:rPr>
                <w:kern w:val="0"/>
                <w:sz w:val="24"/>
                <w:szCs w:val="24"/>
                <w:lang w:val="it-IT" w:bidi="ar-SA"/>
              </w:rPr>
              <w:t>convocazione della famiglia su richiesta del consiglio di Classe;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15" w:leader="none"/>
              </w:tabs>
              <w:spacing w:lineRule="exact" w:line="30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Verdana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TxBrp26"/>
              <w:widowControl w:val="false"/>
              <w:spacing w:lineRule="exact" w:line="300" w:before="0" w:after="0"/>
              <w:jc w:val="left"/>
              <w:rPr>
                <w:color w:val="333333"/>
                <w:sz w:val="24"/>
                <w:lang w:val="it-IT" w:eastAsia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  <w:t></w:t>
            </w:r>
            <w:r>
              <w:rPr>
                <w:kern w:val="0"/>
                <w:sz w:val="24"/>
                <w:szCs w:val="24"/>
                <w:lang w:val="it-IT" w:bidi="ar-SA"/>
              </w:rPr>
              <w:t>partecipazione agli incontri collegiali scuola</w:t>
              <w:softHyphen/>
              <w:t xml:space="preserve"> famiglia;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15" w:leader="none"/>
              </w:tabs>
              <w:spacing w:lineRule="exact" w:line="30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Verdana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TxBrp26"/>
              <w:widowControl w:val="false"/>
              <w:spacing w:lineRule="exact" w:line="300" w:before="0" w:after="0"/>
              <w:jc w:val="left"/>
              <w:rPr>
                <w:sz w:val="24"/>
                <w:lang w:val="it-IT"/>
              </w:rPr>
            </w:pPr>
            <w:bookmarkStart w:id="0" w:name="_GoBack"/>
            <w:bookmarkEnd w:id="0"/>
            <w:r>
              <w:rPr>
                <w:kern w:val="0"/>
                <w:sz w:val="24"/>
                <w:szCs w:val="24"/>
                <w:lang w:val="it-IT" w:bidi="ar-SA"/>
              </w:rPr>
              <w:t></w:t>
            </w:r>
            <w:r>
              <w:rPr>
                <w:kern w:val="0"/>
                <w:sz w:val="24"/>
                <w:szCs w:val="24"/>
                <w:lang w:val="it-IT" w:bidi="ar-SA"/>
              </w:rPr>
              <w:t xml:space="preserve">comunicazioni e/o convocazioni </w:t>
            </w:r>
            <w:r>
              <w:rPr>
                <w:color w:val="333333"/>
                <w:kern w:val="0"/>
                <w:sz w:val="24"/>
                <w:szCs w:val="24"/>
                <w:lang w:val="it-IT" w:eastAsia="it-IT" w:bidi="ar-SA"/>
              </w:rPr>
              <w:t>attraverso diario e/o libretto personale</w:t>
            </w:r>
            <w:r>
              <w:rPr>
                <w:kern w:val="0"/>
                <w:sz w:val="24"/>
                <w:szCs w:val="24"/>
                <w:lang w:val="it-IT" w:bidi="ar-SA"/>
              </w:rPr>
              <w:t xml:space="preserve"> in casi particolari (scarso   impegno, assenze ingiustificate, comportamenti censurabili sotto il profilo disciplinare, ecc.);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15" w:leader="none"/>
              </w:tabs>
              <w:spacing w:lineRule="exact" w:line="30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Verdana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 xml:space="preserve"> </w:t>
            </w:r>
            <w:r>
              <w:rPr>
                <w:rFonts w:eastAsia="Verdana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______________________________________________________________________</w:t>
            </w:r>
          </w:p>
        </w:tc>
      </w:tr>
    </w:tbl>
    <w:p>
      <w:pPr>
        <w:pStyle w:val="Normal"/>
        <w:pBdr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pBdr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pBdr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Grigliatabella"/>
        <w:tblW w:w="101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188"/>
      </w:tblGrid>
      <w:tr>
        <w:trPr/>
        <w:tc>
          <w:tcPr>
            <w:tcW w:w="10188" w:type="dxa"/>
            <w:tcBorders/>
          </w:tcPr>
          <w:p>
            <w:pPr>
              <w:pStyle w:val="TxBrp26"/>
              <w:widowControl w:val="false"/>
              <w:tabs>
                <w:tab w:val="left" w:pos="583" w:leader="none"/>
                <w:tab w:val="left" w:pos="1418" w:leader="none"/>
                <w:tab w:val="left" w:pos="4507" w:leader="none"/>
              </w:tabs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u w:val="single"/>
                <w:lang w:val="it-IT" w:bidi="ar-SA"/>
              </w:rPr>
              <w:t>Valutazione generale dei rapporti</w:t>
            </w:r>
            <w:r>
              <w:rPr>
                <w:kern w:val="0"/>
                <w:sz w:val="24"/>
                <w:szCs w:val="24"/>
                <w:lang w:val="it-IT" w:bidi="ar-SA"/>
              </w:rPr>
              <w:t>:</w:t>
            </w:r>
          </w:p>
          <w:p>
            <w:pPr>
              <w:pStyle w:val="TxBrp26"/>
              <w:widowControl w:val="false"/>
              <w:tabs>
                <w:tab w:val="left" w:pos="583" w:leader="none"/>
                <w:tab w:val="left" w:pos="1418" w:leader="none"/>
                <w:tab w:val="left" w:pos="4507" w:leader="none"/>
              </w:tabs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</w:r>
          </w:p>
          <w:tbl>
            <w:tblPr>
              <w:tblW w:w="10923" w:type="dxa"/>
              <w:jc w:val="left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  <w:tblLook w:val="0000" w:noVBand="0" w:noHBand="0" w:lastColumn="0" w:firstColumn="0" w:lastRow="0" w:firstRow="0"/>
            </w:tblPr>
            <w:tblGrid>
              <w:gridCol w:w="2184"/>
              <w:gridCol w:w="2185"/>
              <w:gridCol w:w="2184"/>
              <w:gridCol w:w="2185"/>
              <w:gridCol w:w="2185"/>
            </w:tblGrid>
            <w:tr>
              <w:trPr/>
              <w:tc>
                <w:tcPr>
                  <w:tcW w:w="2184" w:type="dxa"/>
                  <w:tcBorders/>
                  <w:shd w:color="auto" w:fill="auto" w:val="clear"/>
                </w:tcPr>
                <w:p>
                  <w:pPr>
                    <w:pStyle w:val="TxBrt1"/>
                    <w:widowControl w:val="false"/>
                    <w:tabs>
                      <w:tab w:val="clear" w:pos="720"/>
                      <w:tab w:val="left" w:pos="515" w:leader="none"/>
                    </w:tabs>
                    <w:spacing w:lineRule="exact" w:line="300"/>
                    <w:rPr>
                      <w:sz w:val="24"/>
                      <w:lang w:val="it-IT"/>
                    </w:rPr>
                  </w:pPr>
                  <w:r>
                    <w:rPr>
                      <w:sz w:val="24"/>
                      <w:lang w:val="it-IT"/>
                    </w:rPr>
                    <w:t xml:space="preserve"> </w:t>
                  </w:r>
                  <w:r>
                    <w:rPr>
                      <w:sz w:val="24"/>
                      <w:lang w:val="it-IT"/>
                    </w:rPr>
                    <w:t>collaborativi</w:t>
                  </w:r>
                </w:p>
              </w:tc>
              <w:tc>
                <w:tcPr>
                  <w:tcW w:w="2185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515" w:leader="none"/>
                    </w:tabs>
                    <w:spacing w:lineRule="exact" w:line="3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  </w:t>
                  </w:r>
                  <w:r>
                    <w:rPr>
                      <w:rFonts w:cs="Times New Roman" w:ascii="Times New Roman" w:hAnsi="Times New Roman"/>
                    </w:rPr>
                    <w:t>proficui</w:t>
                  </w:r>
                </w:p>
              </w:tc>
              <w:tc>
                <w:tcPr>
                  <w:tcW w:w="2184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515" w:leader="none"/>
                    </w:tabs>
                    <w:spacing w:lineRule="exact" w:line="3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 </w:t>
                  </w:r>
                  <w:r>
                    <w:rPr>
                      <w:rFonts w:cs="Times New Roman" w:ascii="Times New Roman" w:hAnsi="Times New Roman"/>
                    </w:rPr>
                    <w:t>normali</w:t>
                  </w:r>
                </w:p>
              </w:tc>
              <w:tc>
                <w:tcPr>
                  <w:tcW w:w="2185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515" w:leader="none"/>
                    </w:tabs>
                    <w:spacing w:lineRule="exact" w:line="3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 </w:t>
                  </w:r>
                  <w:r>
                    <w:rPr>
                      <w:rFonts w:cs="Times New Roman" w:ascii="Times New Roman" w:hAnsi="Times New Roman"/>
                    </w:rPr>
                    <w:t>limitati</w:t>
                  </w:r>
                </w:p>
              </w:tc>
              <w:tc>
                <w:tcPr>
                  <w:tcW w:w="2185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515" w:leader="none"/>
                    </w:tabs>
                    <w:spacing w:lineRule="exact" w:line="3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</w:tbl>
          <w:p>
            <w:pPr>
              <w:pStyle w:val="TxBrp26"/>
              <w:widowControl w:val="false"/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Cs w:val="24"/>
                <w:lang w:bidi="ar-SA"/>
              </w:rPr>
            </w:r>
          </w:p>
          <w:p>
            <w:pPr>
              <w:pStyle w:val="TxBrp26"/>
              <w:widowControl w:val="false"/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  <w:t xml:space="preserve"> </w:t>
            </w:r>
            <w:r>
              <w:rPr>
                <w:kern w:val="0"/>
                <w:sz w:val="24"/>
                <w:szCs w:val="24"/>
                <w:lang w:val="it-IT" w:bidi="ar-SA"/>
              </w:rPr>
              <w:t>poco produttivi</w:t>
            </w:r>
          </w:p>
          <w:p>
            <w:pPr>
              <w:pStyle w:val="TxBrp26"/>
              <w:widowControl w:val="false"/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</w:r>
          </w:p>
          <w:p>
            <w:pPr>
              <w:pStyle w:val="TxBrp26"/>
              <w:widowControl w:val="false"/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  <w:t xml:space="preserve"> </w:t>
            </w:r>
            <w:r>
              <w:rPr>
                <w:kern w:val="0"/>
                <w:sz w:val="24"/>
                <w:szCs w:val="24"/>
                <w:lang w:val="it-IT" w:bidi="ar-SA"/>
              </w:rPr>
              <w:t>non sempre costruttivi</w:t>
            </w:r>
          </w:p>
          <w:p>
            <w:pPr>
              <w:pStyle w:val="TxBrp26"/>
              <w:widowControl w:val="false"/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</w:r>
          </w:p>
          <w:p>
            <w:pPr>
              <w:pStyle w:val="TxBrp26"/>
              <w:widowControl w:val="false"/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  <w:t xml:space="preserve"> </w:t>
            </w:r>
            <w:r>
              <w:rPr>
                <w:kern w:val="0"/>
                <w:sz w:val="24"/>
                <w:szCs w:val="24"/>
                <w:lang w:val="it-IT" w:bidi="ar-SA"/>
              </w:rPr>
              <w:t>Altro____________________________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15" w:leader="none"/>
              </w:tabs>
              <w:spacing w:lineRule="exact" w:line="30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Verdana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</w:r>
          </w:p>
          <w:p>
            <w:pPr>
              <w:pStyle w:val="TxBrp26"/>
              <w:widowControl w:val="false"/>
              <w:tabs>
                <w:tab w:val="left" w:pos="583" w:leader="none"/>
                <w:tab w:val="left" w:pos="1418" w:leader="none"/>
                <w:tab w:val="left" w:pos="4507" w:leader="none"/>
              </w:tabs>
              <w:spacing w:lineRule="exact" w:line="300" w:before="0" w:after="0"/>
              <w:ind w:left="0" w:hanging="0"/>
              <w:jc w:val="left"/>
              <w:rPr>
                <w:sz w:val="24"/>
                <w:lang w:val="it-IT"/>
              </w:rPr>
            </w:pPr>
            <w:r>
              <w:rPr>
                <w:kern w:val="0"/>
                <w:sz w:val="24"/>
                <w:szCs w:val="24"/>
                <w:lang w:val="it-IT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La presente relazione viene approvata all’unanimità da tutti i componenti del Consiglio di Classe.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DATA,                                                                                               DOCENTE COORDINATORE</w:t>
      </w:r>
    </w:p>
    <w:p>
      <w:pPr>
        <w:pStyle w:val="Normal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 w:noVBand="1" w:noHBand="0" w:lastColumn="0" w:firstColumn="1" w:lastRow="0" w:firstRow="1"/>
      </w:tblPr>
      <w:tblGrid>
        <w:gridCol w:w="5626"/>
        <w:gridCol w:w="4345"/>
      </w:tblGrid>
      <w:tr>
        <w:trPr/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Docente</w:t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76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18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688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671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52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6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0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28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7" w:hRule="exac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27" w:hRule="atLeas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5" w:hRule="atLeas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2" w:hRule="atLeas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652" w:hRule="atLeas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60" w:hRule="atLeast"/>
        </w:trPr>
        <w:tc>
          <w:tcPr>
            <w:tcW w:w="5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34" w:right="1134" w:gutter="0" w:header="0" w:top="1417" w:footer="72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MS Gothic">
    <w:charset w:val="01"/>
    <w:family w:val="roman"/>
    <w:pitch w:val="variable"/>
  </w:font>
  <w:font w:name="Noto Sans Symbols">
    <w:charset w:val="01"/>
    <w:family w:val="swiss"/>
    <w:pitch w:val="default"/>
  </w:font>
  <w:font w:name="OpenSymbol">
    <w:altName w:val="Arial Unicode MS"/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1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2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3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4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5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6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7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  <w:lvl w:ilvl="8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u w:val="none"/>
        <w:b w:val="false"/>
        <w:shd w:fill="auto" w:val="clear"/>
        <w:szCs w:val="20"/>
        <w:color w:val="000000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0" w:hanging="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Verdana" w:hAnsi="Verdana" w:eastAsia="Verdana" w:cs="Verdana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4d3c"/>
    <w:pPr>
      <w:widowControl w:val="fals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pBdr/>
      <w:outlineLvl w:val="0"/>
    </w:pPr>
    <w:rPr/>
  </w:style>
  <w:style w:type="paragraph" w:styleId="Titolo2">
    <w:name w:val="Heading 2"/>
    <w:basedOn w:val="Normal"/>
    <w:next w:val="Normal"/>
    <w:qFormat/>
    <w:pPr>
      <w:pBdr/>
      <w:outlineLvl w:val="1"/>
    </w:pPr>
    <w:rPr/>
  </w:style>
  <w:style w:type="paragraph" w:styleId="Titolo3">
    <w:name w:val="Heading 3"/>
    <w:basedOn w:val="Normal"/>
    <w:next w:val="Normal"/>
    <w:qFormat/>
    <w:pPr>
      <w:pBdr/>
      <w:outlineLvl w:val="2"/>
    </w:pPr>
    <w:rPr/>
  </w:style>
  <w:style w:type="paragraph" w:styleId="Titolo4">
    <w:name w:val="Heading 4"/>
    <w:basedOn w:val="Normal"/>
    <w:next w:val="Normal"/>
    <w:qFormat/>
    <w:pPr>
      <w:pBdr/>
      <w:outlineLvl w:val="3"/>
    </w:pPr>
    <w:rPr/>
  </w:style>
  <w:style w:type="paragraph" w:styleId="Titolo5">
    <w:name w:val="Heading 5"/>
    <w:basedOn w:val="Normal"/>
    <w:next w:val="Normal"/>
    <w:qFormat/>
    <w:pPr>
      <w:pBdr/>
      <w:outlineLvl w:val="4"/>
    </w:pPr>
    <w:rPr/>
  </w:style>
  <w:style w:type="paragraph" w:styleId="Titolo6">
    <w:name w:val="Heading 6"/>
    <w:basedOn w:val="Normal"/>
    <w:next w:val="Normal"/>
    <w:qFormat/>
    <w:pPr>
      <w:pBdr/>
      <w:outlineLvl w:val="5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fd4d3c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oloprincipale">
    <w:name w:val="Title"/>
    <w:basedOn w:val="Normal"/>
    <w:next w:val="Normal"/>
    <w:qFormat/>
    <w:pPr>
      <w:pBdr/>
      <w:spacing w:before="240" w:after="60"/>
      <w:jc w:val="center"/>
    </w:pPr>
    <w:rPr>
      <w:rFonts w:ascii="Arial" w:hAnsi="Arial" w:eastAsia="Arial" w:cs="Arial"/>
      <w:b/>
      <w:sz w:val="32"/>
      <w:szCs w:val="32"/>
    </w:rPr>
  </w:style>
  <w:style w:type="paragraph" w:styleId="Sottotitolo">
    <w:name w:val="Subtitle"/>
    <w:basedOn w:val="Normal"/>
    <w:next w:val="Normal"/>
    <w:qFormat/>
    <w:pPr>
      <w:pBdr/>
      <w:spacing w:before="0" w:after="60"/>
      <w:jc w:val="center"/>
    </w:pPr>
    <w:rPr>
      <w:rFonts w:ascii="Arial" w:hAnsi="Arial" w:eastAsia="Arial"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fd4d3c"/>
    <w:pPr/>
    <w:rPr>
      <w:rFonts w:ascii="Tahoma" w:hAnsi="Tahoma" w:cs="Tahoma"/>
      <w:sz w:val="16"/>
      <w:szCs w:val="16"/>
    </w:rPr>
  </w:style>
  <w:style w:type="paragraph" w:styleId="TxBrp26" w:customStyle="1">
    <w:name w:val="TxBr_p26"/>
    <w:basedOn w:val="Normal"/>
    <w:qFormat/>
    <w:rsid w:val="0033380b"/>
    <w:pPr>
      <w:tabs>
        <w:tab w:val="clear" w:pos="720"/>
        <w:tab w:val="left" w:pos="583" w:leader="none"/>
        <w:tab w:val="left" w:pos="4507" w:leader="none"/>
      </w:tabs>
      <w:suppressAutoHyphens w:val="true"/>
      <w:spacing w:lineRule="atLeast" w:line="340"/>
      <w:ind w:left="239" w:hanging="0"/>
      <w:jc w:val="both"/>
    </w:pPr>
    <w:rPr>
      <w:rFonts w:ascii="Times New Roman" w:hAnsi="Times New Roman" w:eastAsia="Times New Roman" w:cs="Times New Roman"/>
      <w:sz w:val="20"/>
      <w:lang w:val="en-US" w:eastAsia="ar-SA"/>
    </w:rPr>
  </w:style>
  <w:style w:type="paragraph" w:styleId="TxBrt1" w:customStyle="1">
    <w:name w:val="TxBr_t1"/>
    <w:basedOn w:val="Normal"/>
    <w:qFormat/>
    <w:rsid w:val="0033380b"/>
    <w:pPr>
      <w:suppressAutoHyphens w:val="true"/>
      <w:spacing w:lineRule="atLeast" w:line="240"/>
    </w:pPr>
    <w:rPr>
      <w:rFonts w:ascii="Times New Roman" w:hAnsi="Times New Roman" w:eastAsia="SimSun" w:cs="Times New Roman"/>
      <w:sz w:val="20"/>
      <w:lang w:val="en-US" w:eastAsia="ar-SA"/>
    </w:rPr>
  </w:style>
  <w:style w:type="paragraph" w:styleId="ListParagraph">
    <w:name w:val="List Paragraph"/>
    <w:basedOn w:val="Normal"/>
    <w:uiPriority w:val="34"/>
    <w:qFormat/>
    <w:rsid w:val="007921e2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354ecb"/>
    <w:pPr/>
    <w:rPr>
      <w:rFonts w:ascii="Times New Roman" w:hAnsi="Times New Roman" w:cs="Times New Roman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d4d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LibreOffice/7.5.0.3$MacOSX_X86_64 LibreOffice_project/c21113d003cd3efa8c53188764377a8272d9d6de</Application>
  <AppVersion>15.0000</AppVersion>
  <Pages>10</Pages>
  <Words>1644</Words>
  <Characters>10828</Characters>
  <CharactersWithSpaces>12483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2023-05-10T21:00:00Z</dcterms:created>
  <dc:creator>Utente</dc:creator>
  <dc:description/>
  <dc:language>it-IT</dc:language>
  <cp:lastModifiedBy/>
  <dcterms:modified xsi:type="dcterms:W3CDTF">2023-09-20T14:29:31Z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